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926" w:rsidRDefault="001B6D14">
      <w:r w:rsidRPr="001B6D14">
        <w:rPr>
          <w:rFonts w:ascii="Calibri" w:hAnsi="Calibri" w:cs="Calibri"/>
          <w:noProof/>
          <w:sz w:val="24"/>
          <w:szCs w:val="24"/>
          <w:lang w:eastAsia="fr-FR"/>
        </w:rPr>
        <w:drawing>
          <wp:inline distT="0" distB="0" distL="0" distR="0" wp14:anchorId="3CB6F024" wp14:editId="51276746">
            <wp:extent cx="1389888" cy="1615899"/>
            <wp:effectExtent l="0" t="0" r="1270" b="3810"/>
            <wp:docPr id="2" name="Image 2" descr="https://www.ac-caen.fr/mediatheque/ressources_professionnelles/logo/region_academique_normandie.jpg?v20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c-caen.fr/mediatheque/ressources_professionnelles/logo/region_academique_normandie.jpg?v2018-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5799" cy="1634397"/>
                    </a:xfrm>
                    <a:prstGeom prst="rect">
                      <a:avLst/>
                    </a:prstGeom>
                    <a:noFill/>
                    <a:ln>
                      <a:noFill/>
                    </a:ln>
                  </pic:spPr>
                </pic:pic>
              </a:graphicData>
            </a:graphic>
          </wp:inline>
        </w:drawing>
      </w:r>
    </w:p>
    <w:p w:rsidR="007D4C6E" w:rsidRPr="001B6D14" w:rsidRDefault="00125CCB" w:rsidP="001B6D14">
      <w:pPr>
        <w:jc w:val="center"/>
        <w:rPr>
          <w:rFonts w:ascii="Calibri" w:hAnsi="Calibri" w:cs="Calibri"/>
          <w:b/>
          <w:sz w:val="36"/>
          <w:szCs w:val="36"/>
        </w:rPr>
      </w:pPr>
      <w:r w:rsidRPr="001B6D14">
        <w:rPr>
          <w:rFonts w:ascii="Calibri" w:hAnsi="Calibri" w:cs="Calibri"/>
          <w:b/>
          <w:sz w:val="36"/>
          <w:szCs w:val="36"/>
        </w:rPr>
        <w:t>Le Compte personnel de formation</w:t>
      </w:r>
    </w:p>
    <w:p w:rsidR="00125CCB" w:rsidRPr="001B6D14" w:rsidRDefault="00125CCB">
      <w:pPr>
        <w:rPr>
          <w:rFonts w:ascii="Calibri" w:hAnsi="Calibri" w:cs="Calibri"/>
          <w:sz w:val="24"/>
          <w:szCs w:val="24"/>
        </w:rPr>
      </w:pPr>
    </w:p>
    <w:p w:rsidR="00DB0AB7" w:rsidRDefault="00DB0AB7">
      <w:pPr>
        <w:rPr>
          <w:rFonts w:ascii="Calibri" w:hAnsi="Calibri" w:cs="Calibri"/>
          <w:b/>
          <w:sz w:val="24"/>
          <w:szCs w:val="24"/>
        </w:rPr>
      </w:pPr>
      <w:r w:rsidRPr="001B6D14">
        <w:rPr>
          <w:rFonts w:ascii="Calibri" w:hAnsi="Calibri" w:cs="Calibri"/>
          <w:b/>
          <w:sz w:val="24"/>
          <w:szCs w:val="24"/>
        </w:rPr>
        <w:t>Textes de références :</w:t>
      </w:r>
    </w:p>
    <w:p w:rsidR="008D6817" w:rsidRPr="00E94404" w:rsidRDefault="001B6D14" w:rsidP="000725AC">
      <w:pPr>
        <w:pStyle w:val="Paragraphedeliste"/>
        <w:numPr>
          <w:ilvl w:val="0"/>
          <w:numId w:val="5"/>
        </w:numPr>
        <w:jc w:val="both"/>
        <w:rPr>
          <w:rFonts w:ascii="Calibri" w:hAnsi="Calibri" w:cs="Calibri"/>
          <w:b/>
          <w:sz w:val="24"/>
          <w:szCs w:val="24"/>
        </w:rPr>
      </w:pPr>
      <w:r w:rsidRPr="00E94404">
        <w:rPr>
          <w:rFonts w:ascii="Calibri" w:eastAsia="Times New Roman" w:hAnsi="Calibri" w:cs="Calibri"/>
          <w:sz w:val="24"/>
          <w:szCs w:val="24"/>
          <w:lang w:eastAsia="fr-FR"/>
        </w:rPr>
        <w:t xml:space="preserve">Loi n° 83-634 du 13 </w:t>
      </w:r>
      <w:r w:rsidR="00FA1465" w:rsidRPr="00E94404">
        <w:rPr>
          <w:rFonts w:ascii="Calibri" w:eastAsia="Times New Roman" w:hAnsi="Calibri" w:cs="Calibri"/>
          <w:sz w:val="24"/>
          <w:szCs w:val="24"/>
          <w:lang w:eastAsia="fr-FR"/>
        </w:rPr>
        <w:t>juillet 1983 (art 22, 22ter et 22 quater) portant droits et obligations des fonctionnaires</w:t>
      </w:r>
    </w:p>
    <w:p w:rsidR="001B6D14" w:rsidRPr="00E94404" w:rsidRDefault="00C84AC7" w:rsidP="001B6D14">
      <w:pPr>
        <w:numPr>
          <w:ilvl w:val="0"/>
          <w:numId w:val="5"/>
        </w:numPr>
        <w:spacing w:before="100" w:beforeAutospacing="1" w:after="100" w:afterAutospacing="1" w:line="280" w:lineRule="exact"/>
        <w:ind w:left="714" w:hanging="357"/>
        <w:jc w:val="both"/>
        <w:rPr>
          <w:rFonts w:ascii="Calibri" w:eastAsia="Times New Roman" w:hAnsi="Calibri" w:cs="Calibri"/>
          <w:sz w:val="24"/>
          <w:szCs w:val="24"/>
          <w:lang w:eastAsia="fr-FR"/>
        </w:rPr>
      </w:pPr>
      <w:hyperlink r:id="rId6" w:tgtFrame="_blank" w:history="1">
        <w:r w:rsidR="00FA1465" w:rsidRPr="00E94404">
          <w:rPr>
            <w:rFonts w:ascii="Calibri" w:eastAsia="Times New Roman" w:hAnsi="Calibri" w:cs="Calibri"/>
            <w:sz w:val="24"/>
            <w:szCs w:val="24"/>
            <w:lang w:eastAsia="fr-FR"/>
          </w:rPr>
          <w:t>Ordonnance n° 2017-53 du 19 janvier 2017</w:t>
        </w:r>
      </w:hyperlink>
      <w:r w:rsidR="00FA1465" w:rsidRPr="00E94404">
        <w:rPr>
          <w:rFonts w:ascii="Calibri" w:eastAsia="Times New Roman" w:hAnsi="Calibri" w:cs="Calibri"/>
          <w:sz w:val="24"/>
          <w:szCs w:val="24"/>
          <w:lang w:eastAsia="fr-FR"/>
        </w:rPr>
        <w:t xml:space="preserve"> portant diverses dispositions relatives au compte personnel d’activité, à la formation et à la santé et la sécurité au travail dans la fonction publique </w:t>
      </w:r>
    </w:p>
    <w:p w:rsidR="00E94404" w:rsidRPr="00E94404" w:rsidRDefault="00E94404" w:rsidP="001B6D14">
      <w:pPr>
        <w:numPr>
          <w:ilvl w:val="0"/>
          <w:numId w:val="5"/>
        </w:numPr>
        <w:spacing w:before="100" w:beforeAutospacing="1" w:after="100" w:afterAutospacing="1" w:line="280" w:lineRule="exact"/>
        <w:ind w:left="714" w:hanging="357"/>
        <w:jc w:val="both"/>
        <w:rPr>
          <w:rFonts w:ascii="Calibri" w:eastAsia="Times New Roman" w:hAnsi="Calibri" w:cs="Calibri"/>
          <w:sz w:val="24"/>
          <w:szCs w:val="24"/>
          <w:lang w:eastAsia="fr-FR"/>
        </w:rPr>
      </w:pPr>
    </w:p>
    <w:p w:rsidR="00FA1465" w:rsidRPr="00E94404" w:rsidRDefault="006F2777" w:rsidP="008D6817">
      <w:pPr>
        <w:numPr>
          <w:ilvl w:val="0"/>
          <w:numId w:val="5"/>
        </w:numPr>
        <w:spacing w:before="100" w:beforeAutospacing="1" w:after="100" w:afterAutospacing="1" w:line="280" w:lineRule="exact"/>
        <w:ind w:left="714" w:hanging="357"/>
        <w:jc w:val="both"/>
        <w:rPr>
          <w:rFonts w:ascii="Calibri" w:eastAsia="Times New Roman" w:hAnsi="Calibri" w:cs="Calibri"/>
          <w:sz w:val="24"/>
          <w:szCs w:val="24"/>
          <w:lang w:eastAsia="fr-FR"/>
        </w:rPr>
      </w:pPr>
      <w:r w:rsidRPr="00E94404">
        <w:rPr>
          <w:rFonts w:ascii="Calibri" w:eastAsia="Times New Roman" w:hAnsi="Calibri" w:cs="Calibri"/>
          <w:sz w:val="24"/>
          <w:szCs w:val="24"/>
          <w:lang w:eastAsia="fr-FR"/>
        </w:rPr>
        <w:t>Décret n°</w:t>
      </w:r>
      <w:r w:rsidR="00FA1465" w:rsidRPr="00E94404">
        <w:rPr>
          <w:rFonts w:ascii="Calibri" w:eastAsia="Times New Roman" w:hAnsi="Calibri" w:cs="Calibri"/>
          <w:sz w:val="24"/>
          <w:szCs w:val="24"/>
          <w:lang w:eastAsia="fr-FR"/>
        </w:rPr>
        <w:t xml:space="preserve"> </w:t>
      </w:r>
      <w:r w:rsidRPr="00E94404">
        <w:rPr>
          <w:rFonts w:ascii="Calibri" w:eastAsia="Times New Roman" w:hAnsi="Calibri" w:cs="Calibri"/>
          <w:sz w:val="24"/>
          <w:szCs w:val="24"/>
          <w:lang w:eastAsia="fr-FR"/>
        </w:rPr>
        <w:t>2017-928 du 6 mai 2017 rel</w:t>
      </w:r>
      <w:r w:rsidR="00FA1465" w:rsidRPr="00E94404">
        <w:rPr>
          <w:rFonts w:ascii="Calibri" w:eastAsia="Times New Roman" w:hAnsi="Calibri" w:cs="Calibri"/>
          <w:sz w:val="24"/>
          <w:szCs w:val="24"/>
          <w:lang w:eastAsia="fr-FR"/>
        </w:rPr>
        <w:t xml:space="preserve">atif à la mise en œuvre du compte personnel d’activité </w:t>
      </w:r>
      <w:r w:rsidRPr="00E94404">
        <w:rPr>
          <w:rFonts w:ascii="Calibri" w:eastAsia="Times New Roman" w:hAnsi="Calibri" w:cs="Calibri"/>
          <w:sz w:val="24"/>
          <w:szCs w:val="24"/>
          <w:lang w:eastAsia="fr-FR"/>
        </w:rPr>
        <w:t>dans la fonction publique et à la formation profess</w:t>
      </w:r>
      <w:r w:rsidR="00FA1465" w:rsidRPr="00E94404">
        <w:rPr>
          <w:rFonts w:ascii="Calibri" w:eastAsia="Times New Roman" w:hAnsi="Calibri" w:cs="Calibri"/>
          <w:sz w:val="24"/>
          <w:szCs w:val="24"/>
          <w:lang w:eastAsia="fr-FR"/>
        </w:rPr>
        <w:t>ionnelle tout au long de la vie</w:t>
      </w:r>
    </w:p>
    <w:p w:rsidR="00FA1465" w:rsidRPr="00E94404" w:rsidRDefault="00FA1465" w:rsidP="008D6817">
      <w:pPr>
        <w:numPr>
          <w:ilvl w:val="0"/>
          <w:numId w:val="2"/>
        </w:numPr>
        <w:spacing w:before="100" w:beforeAutospacing="1" w:after="100" w:afterAutospacing="1" w:line="280" w:lineRule="exact"/>
        <w:ind w:left="714" w:hanging="357"/>
        <w:jc w:val="both"/>
        <w:rPr>
          <w:rFonts w:ascii="Calibri" w:eastAsia="Times New Roman" w:hAnsi="Calibri" w:cs="Calibri"/>
          <w:sz w:val="24"/>
          <w:szCs w:val="24"/>
          <w:lang w:eastAsia="fr-FR"/>
        </w:rPr>
      </w:pPr>
      <w:r w:rsidRPr="00E94404">
        <w:rPr>
          <w:rFonts w:ascii="Calibri" w:eastAsia="Times New Roman" w:hAnsi="Calibri" w:cs="Calibri"/>
          <w:sz w:val="24"/>
          <w:szCs w:val="24"/>
          <w:lang w:eastAsia="fr-FR"/>
        </w:rPr>
        <w:t>Arrêté du 21 novembre 2018 portant fixation des plafonds de prise en charge des frais liés au compte personnel de formation dans les services et établissements du ministère de l’éducation nationale</w:t>
      </w:r>
    </w:p>
    <w:p w:rsidR="006F2777" w:rsidRPr="00E94404" w:rsidRDefault="00C84AC7" w:rsidP="008D6817">
      <w:pPr>
        <w:numPr>
          <w:ilvl w:val="0"/>
          <w:numId w:val="3"/>
        </w:numPr>
        <w:spacing w:before="100" w:beforeAutospacing="1" w:after="100" w:afterAutospacing="1" w:line="280" w:lineRule="exact"/>
        <w:ind w:left="714" w:hanging="357"/>
        <w:jc w:val="both"/>
        <w:rPr>
          <w:rFonts w:ascii="Calibri" w:eastAsia="Times New Roman" w:hAnsi="Calibri" w:cs="Calibri"/>
          <w:sz w:val="24"/>
          <w:szCs w:val="24"/>
          <w:lang w:eastAsia="fr-FR"/>
        </w:rPr>
      </w:pPr>
      <w:hyperlink r:id="rId7" w:tgtFrame="_blank" w:history="1">
        <w:r w:rsidR="006F2777" w:rsidRPr="00E94404">
          <w:rPr>
            <w:rFonts w:ascii="Calibri" w:eastAsia="Times New Roman" w:hAnsi="Calibri" w:cs="Calibri"/>
            <w:sz w:val="24"/>
            <w:szCs w:val="24"/>
            <w:lang w:eastAsia="fr-FR"/>
          </w:rPr>
          <w:t>Circulaire du 10 mai 2017 relative aux modalités de mise en œuvre du compte personnel d’activité dans la fonction publique</w:t>
        </w:r>
      </w:hyperlink>
    </w:p>
    <w:p w:rsidR="00A66926" w:rsidRPr="001B6D14" w:rsidRDefault="00A66926" w:rsidP="008D6817">
      <w:pPr>
        <w:jc w:val="both"/>
        <w:rPr>
          <w:rFonts w:ascii="Calibri" w:hAnsi="Calibri" w:cs="Calibri"/>
          <w:b/>
          <w:sz w:val="24"/>
          <w:szCs w:val="24"/>
        </w:rPr>
      </w:pPr>
      <w:r w:rsidRPr="001B6D14">
        <w:rPr>
          <w:rFonts w:ascii="Calibri" w:hAnsi="Calibri" w:cs="Calibri"/>
          <w:b/>
          <w:sz w:val="24"/>
          <w:szCs w:val="24"/>
        </w:rPr>
        <w:t>Public concerné :</w:t>
      </w:r>
    </w:p>
    <w:p w:rsidR="007D4C6E" w:rsidRPr="001B6D14" w:rsidRDefault="007D4C6E" w:rsidP="008D6817">
      <w:pPr>
        <w:jc w:val="both"/>
        <w:rPr>
          <w:rFonts w:ascii="Calibri" w:hAnsi="Calibri" w:cs="Calibri"/>
          <w:sz w:val="24"/>
          <w:szCs w:val="24"/>
        </w:rPr>
      </w:pPr>
      <w:r w:rsidRPr="001B6D14">
        <w:rPr>
          <w:rFonts w:ascii="Calibri" w:hAnsi="Calibri" w:cs="Calibri"/>
          <w:sz w:val="24"/>
          <w:szCs w:val="24"/>
        </w:rPr>
        <w:t>Le compte personnel de formation (CPF) permet à l’ensemble des agents, titulaires et non titulaires de bénéficier d’actions de formation professionnelle.</w:t>
      </w:r>
      <w:r w:rsidR="006F2777" w:rsidRPr="001B6D14">
        <w:rPr>
          <w:rFonts w:ascii="Calibri" w:hAnsi="Calibri" w:cs="Calibri"/>
          <w:sz w:val="24"/>
          <w:szCs w:val="24"/>
        </w:rPr>
        <w:t xml:space="preserve"> Depuis le 1</w:t>
      </w:r>
      <w:r w:rsidR="006F2777" w:rsidRPr="001B6D14">
        <w:rPr>
          <w:rFonts w:ascii="Calibri" w:hAnsi="Calibri" w:cs="Calibri"/>
          <w:sz w:val="24"/>
          <w:szCs w:val="24"/>
          <w:vertAlign w:val="superscript"/>
        </w:rPr>
        <w:t>er</w:t>
      </w:r>
      <w:r w:rsidR="006F2777" w:rsidRPr="001B6D14">
        <w:rPr>
          <w:rFonts w:ascii="Calibri" w:hAnsi="Calibri" w:cs="Calibri"/>
          <w:sz w:val="24"/>
          <w:szCs w:val="24"/>
        </w:rPr>
        <w:t xml:space="preserve"> janvier 2017</w:t>
      </w:r>
      <w:r w:rsidR="00C86C95" w:rsidRPr="001B6D14">
        <w:rPr>
          <w:rFonts w:ascii="Calibri" w:hAnsi="Calibri" w:cs="Calibri"/>
          <w:sz w:val="24"/>
          <w:szCs w:val="24"/>
        </w:rPr>
        <w:t xml:space="preserve"> </w:t>
      </w:r>
      <w:r w:rsidR="006F2777" w:rsidRPr="001B6D14">
        <w:rPr>
          <w:rFonts w:ascii="Calibri" w:hAnsi="Calibri" w:cs="Calibri"/>
          <w:sz w:val="24"/>
          <w:szCs w:val="24"/>
        </w:rPr>
        <w:t>l’alimentation du compte personnel de formation s’effectue chaque année à hauteur de 24h maximum par année de travail jusqu’à l’acquisition d’un crédit de 120h, puis de 12h maximum par année de travail, dans la limite d’un plafond total de 15</w:t>
      </w:r>
      <w:r w:rsidR="00A66926" w:rsidRPr="001B6D14">
        <w:rPr>
          <w:rFonts w:ascii="Calibri" w:hAnsi="Calibri" w:cs="Calibri"/>
          <w:sz w:val="24"/>
          <w:szCs w:val="24"/>
        </w:rPr>
        <w:t>0</w:t>
      </w:r>
      <w:r w:rsidR="006F2777" w:rsidRPr="001B6D14">
        <w:rPr>
          <w:rFonts w:ascii="Calibri" w:hAnsi="Calibri" w:cs="Calibri"/>
          <w:sz w:val="24"/>
          <w:szCs w:val="24"/>
        </w:rPr>
        <w:t>h.</w:t>
      </w:r>
      <w:r w:rsidR="00C86C95" w:rsidRPr="001B6D14">
        <w:rPr>
          <w:rFonts w:ascii="Calibri" w:hAnsi="Calibri" w:cs="Calibri"/>
          <w:sz w:val="24"/>
          <w:szCs w:val="24"/>
        </w:rPr>
        <w:t xml:space="preserve"> Les heures précédemment acquises au titre du DIF (droit individuel à la formation) sont transférées sur le compte personnel de formation.</w:t>
      </w:r>
    </w:p>
    <w:p w:rsidR="007D4C6E" w:rsidRPr="001B6D14" w:rsidRDefault="006F15DD" w:rsidP="008D6817">
      <w:pPr>
        <w:spacing w:before="100" w:beforeAutospacing="1" w:after="100" w:afterAutospacing="1" w:line="240" w:lineRule="auto"/>
        <w:jc w:val="both"/>
        <w:outlineLvl w:val="1"/>
        <w:rPr>
          <w:rFonts w:ascii="Calibri" w:eastAsia="Times New Roman" w:hAnsi="Calibri" w:cs="Calibri"/>
          <w:b/>
          <w:bCs/>
          <w:sz w:val="24"/>
          <w:szCs w:val="24"/>
          <w:lang w:eastAsia="fr-FR"/>
        </w:rPr>
      </w:pPr>
      <w:r w:rsidRPr="001B6D14">
        <w:rPr>
          <w:rFonts w:ascii="Calibri" w:eastAsia="Times New Roman" w:hAnsi="Calibri" w:cs="Calibri"/>
          <w:b/>
          <w:bCs/>
          <w:sz w:val="24"/>
          <w:szCs w:val="24"/>
          <w:lang w:eastAsia="fr-FR"/>
        </w:rPr>
        <w:t>Le</w:t>
      </w:r>
      <w:r w:rsidR="007D4C6E" w:rsidRPr="001B6D14">
        <w:rPr>
          <w:rFonts w:ascii="Calibri" w:eastAsia="Times New Roman" w:hAnsi="Calibri" w:cs="Calibri"/>
          <w:b/>
          <w:bCs/>
          <w:sz w:val="24"/>
          <w:szCs w:val="24"/>
          <w:lang w:eastAsia="fr-FR"/>
        </w:rPr>
        <w:t xml:space="preserve"> CPF</w:t>
      </w:r>
      <w:r w:rsidRPr="001B6D14">
        <w:rPr>
          <w:rFonts w:ascii="Calibri" w:eastAsia="Times New Roman" w:hAnsi="Calibri" w:cs="Calibri"/>
          <w:b/>
          <w:bCs/>
          <w:sz w:val="24"/>
          <w:szCs w:val="24"/>
          <w:lang w:eastAsia="fr-FR"/>
        </w:rPr>
        <w:t> :</w:t>
      </w:r>
    </w:p>
    <w:p w:rsidR="007D4C6E" w:rsidRPr="001B6D14" w:rsidRDefault="007D4C6E" w:rsidP="008D6817">
      <w:pPr>
        <w:spacing w:before="100" w:beforeAutospacing="1" w:after="100" w:afterAutospacing="1" w:line="240" w:lineRule="auto"/>
        <w:jc w:val="both"/>
        <w:rPr>
          <w:rFonts w:ascii="Calibri" w:eastAsia="Times New Roman" w:hAnsi="Calibri" w:cs="Calibri"/>
          <w:sz w:val="24"/>
          <w:szCs w:val="24"/>
          <w:lang w:eastAsia="fr-FR"/>
        </w:rPr>
      </w:pPr>
      <w:r w:rsidRPr="001B6D14">
        <w:rPr>
          <w:rFonts w:ascii="Calibri" w:eastAsia="Times New Roman" w:hAnsi="Calibri" w:cs="Calibri"/>
          <w:sz w:val="24"/>
          <w:szCs w:val="24"/>
          <w:lang w:eastAsia="fr-FR"/>
        </w:rPr>
        <w:t>Il permet aux agents d’acquérir des droits à la formation au regard du temps de travail accompli, dans la limite de 150h.</w:t>
      </w:r>
    </w:p>
    <w:p w:rsidR="007D4C6E" w:rsidRPr="001B6D14" w:rsidRDefault="006A4776" w:rsidP="008D6817">
      <w:pPr>
        <w:spacing w:before="100" w:beforeAutospacing="1" w:after="100" w:afterAutospacing="1" w:line="240" w:lineRule="auto"/>
        <w:jc w:val="both"/>
        <w:rPr>
          <w:rFonts w:ascii="Calibri" w:eastAsia="Times New Roman" w:hAnsi="Calibri" w:cs="Calibri"/>
          <w:sz w:val="24"/>
          <w:szCs w:val="24"/>
          <w:lang w:eastAsia="fr-FR"/>
        </w:rPr>
      </w:pPr>
      <w:r w:rsidRPr="001B6D14">
        <w:rPr>
          <w:rFonts w:ascii="Calibri" w:eastAsia="Times New Roman" w:hAnsi="Calibri" w:cs="Calibri"/>
          <w:sz w:val="24"/>
          <w:szCs w:val="24"/>
          <w:lang w:eastAsia="fr-FR"/>
        </w:rPr>
        <w:lastRenderedPageBreak/>
        <w:t xml:space="preserve">Le nombre d’heures de travail de référence pour le calcul de l’alimentation du compte personnel de formation est égal à la durée légale de travail. Le temps partiel est assimilé à du temps complet, il ne donne pas lieu à </w:t>
      </w:r>
      <w:proofErr w:type="spellStart"/>
      <w:r w:rsidRPr="001B6D14">
        <w:rPr>
          <w:rFonts w:ascii="Calibri" w:eastAsia="Times New Roman" w:hAnsi="Calibri" w:cs="Calibri"/>
          <w:sz w:val="24"/>
          <w:szCs w:val="24"/>
          <w:lang w:eastAsia="fr-FR"/>
        </w:rPr>
        <w:t>proratisation</w:t>
      </w:r>
      <w:proofErr w:type="spellEnd"/>
      <w:r w:rsidRPr="001B6D14">
        <w:rPr>
          <w:rFonts w:ascii="Calibri" w:eastAsia="Times New Roman" w:hAnsi="Calibri" w:cs="Calibri"/>
          <w:sz w:val="24"/>
          <w:szCs w:val="24"/>
          <w:lang w:eastAsia="fr-FR"/>
        </w:rPr>
        <w:t xml:space="preserve">. </w:t>
      </w:r>
    </w:p>
    <w:p w:rsidR="007D4C6E" w:rsidRPr="001B6D14" w:rsidRDefault="007D4C6E" w:rsidP="008D6817">
      <w:pPr>
        <w:spacing w:before="100" w:beforeAutospacing="1" w:after="100" w:afterAutospacing="1" w:line="240" w:lineRule="auto"/>
        <w:jc w:val="both"/>
        <w:rPr>
          <w:rFonts w:ascii="Calibri" w:eastAsia="Times New Roman" w:hAnsi="Calibri" w:cs="Calibri"/>
          <w:sz w:val="24"/>
          <w:szCs w:val="24"/>
          <w:lang w:eastAsia="fr-FR"/>
        </w:rPr>
      </w:pPr>
      <w:r w:rsidRPr="001B6D14">
        <w:rPr>
          <w:rFonts w:ascii="Calibri" w:eastAsia="Times New Roman" w:hAnsi="Calibri" w:cs="Calibri"/>
          <w:sz w:val="24"/>
          <w:szCs w:val="24"/>
          <w:lang w:eastAsia="fr-FR"/>
        </w:rPr>
        <w:t>Pour le calcul des droits ouverts sont prises en compte les périodes d’activité ainsi que les congés qui en relèvent en application de l’article 34 de la loi n°84-16 du 11 janvier 1984 portant dispositions statutaires relatives à la fonction publique de l’Etat, les périodes de mise à disposition, de détachement, ainsi que les périodes de congé parental.</w:t>
      </w:r>
    </w:p>
    <w:p w:rsidR="001B12D1" w:rsidRPr="001B6D14" w:rsidRDefault="001B12D1" w:rsidP="008D6817">
      <w:pPr>
        <w:spacing w:before="100" w:beforeAutospacing="1" w:after="100" w:afterAutospacing="1" w:line="240" w:lineRule="auto"/>
        <w:jc w:val="both"/>
        <w:rPr>
          <w:rFonts w:ascii="Calibri" w:eastAsia="Times New Roman" w:hAnsi="Calibri" w:cs="Calibri"/>
          <w:sz w:val="24"/>
          <w:szCs w:val="24"/>
          <w:lang w:eastAsia="fr-FR"/>
        </w:rPr>
      </w:pPr>
      <w:r w:rsidRPr="001B6D14">
        <w:rPr>
          <w:rFonts w:ascii="Calibri" w:eastAsia="Times New Roman" w:hAnsi="Calibri" w:cs="Calibri"/>
          <w:sz w:val="24"/>
          <w:szCs w:val="24"/>
          <w:lang w:eastAsia="fr-FR"/>
        </w:rPr>
        <w:t xml:space="preserve">La demande de mobilisation du CPF s’exerce à l’initiative de l’agent et s’inscrit dans le cadre d’un projet d’évolution professionnelle. Le CPF sera accordé prioritairement aux formations se déroulant </w:t>
      </w:r>
      <w:r w:rsidRPr="001B6D14">
        <w:rPr>
          <w:rFonts w:ascii="Calibri" w:eastAsia="Times New Roman" w:hAnsi="Calibri" w:cs="Calibri"/>
          <w:b/>
          <w:sz w:val="24"/>
          <w:szCs w:val="24"/>
          <w:lang w:eastAsia="fr-FR"/>
        </w:rPr>
        <w:t>hors temps de service.</w:t>
      </w:r>
      <w:r w:rsidRPr="001B6D14">
        <w:rPr>
          <w:rFonts w:ascii="Calibri" w:eastAsia="Times New Roman" w:hAnsi="Calibri" w:cs="Calibri"/>
          <w:sz w:val="24"/>
          <w:szCs w:val="24"/>
          <w:lang w:eastAsia="fr-FR"/>
        </w:rPr>
        <w:t xml:space="preserve">  </w:t>
      </w:r>
      <w:r w:rsidRPr="001B6D14">
        <w:rPr>
          <w:rFonts w:ascii="Calibri" w:eastAsia="Times New Roman" w:hAnsi="Calibri" w:cs="Calibri"/>
          <w:b/>
          <w:sz w:val="24"/>
          <w:szCs w:val="24"/>
          <w:lang w:eastAsia="fr-FR"/>
        </w:rPr>
        <w:t>Dans le cas contraire</w:t>
      </w:r>
      <w:r w:rsidRPr="001B6D14">
        <w:rPr>
          <w:rFonts w:ascii="Calibri" w:eastAsia="Times New Roman" w:hAnsi="Calibri" w:cs="Calibri"/>
          <w:sz w:val="24"/>
          <w:szCs w:val="24"/>
          <w:lang w:eastAsia="fr-FR"/>
        </w:rPr>
        <w:t xml:space="preserve">, l’avis du supérieur hiérarchique sera impérativement demandé pour s’assurer de la compatibilité avec l’organisation du service. </w:t>
      </w:r>
      <w:r w:rsidR="00D351B6" w:rsidRPr="001B6D14">
        <w:rPr>
          <w:rFonts w:ascii="Calibri" w:eastAsia="Times New Roman" w:hAnsi="Calibri" w:cs="Calibri"/>
          <w:sz w:val="24"/>
          <w:szCs w:val="24"/>
          <w:lang w:eastAsia="fr-FR"/>
        </w:rPr>
        <w:t>Les</w:t>
      </w:r>
      <w:r w:rsidRPr="001B6D14">
        <w:rPr>
          <w:rFonts w:ascii="Calibri" w:eastAsia="Times New Roman" w:hAnsi="Calibri" w:cs="Calibri"/>
          <w:sz w:val="24"/>
          <w:szCs w:val="24"/>
          <w:lang w:eastAsia="fr-FR"/>
        </w:rPr>
        <w:t xml:space="preserve"> remplacements </w:t>
      </w:r>
      <w:r w:rsidR="00D351B6" w:rsidRPr="001B6D14">
        <w:rPr>
          <w:rFonts w:ascii="Calibri" w:eastAsia="Times New Roman" w:hAnsi="Calibri" w:cs="Calibri"/>
          <w:sz w:val="24"/>
          <w:szCs w:val="24"/>
          <w:lang w:eastAsia="fr-FR"/>
        </w:rPr>
        <w:t xml:space="preserve">ne sont pas </w:t>
      </w:r>
      <w:r w:rsidRPr="001B6D14">
        <w:rPr>
          <w:rFonts w:ascii="Calibri" w:eastAsia="Times New Roman" w:hAnsi="Calibri" w:cs="Calibri"/>
          <w:sz w:val="24"/>
          <w:szCs w:val="24"/>
          <w:lang w:eastAsia="fr-FR"/>
        </w:rPr>
        <w:t>prévus dans ce cadre</w:t>
      </w:r>
      <w:r w:rsidR="008348CF" w:rsidRPr="001B6D14">
        <w:rPr>
          <w:rFonts w:ascii="Calibri" w:eastAsia="Times New Roman" w:hAnsi="Calibri" w:cs="Calibri"/>
          <w:sz w:val="24"/>
          <w:szCs w:val="24"/>
          <w:lang w:eastAsia="fr-FR"/>
        </w:rPr>
        <w:t>.</w:t>
      </w:r>
    </w:p>
    <w:p w:rsidR="007D4C6E" w:rsidRPr="001B6D14" w:rsidRDefault="007D4C6E" w:rsidP="008D6817">
      <w:pPr>
        <w:spacing w:before="100" w:beforeAutospacing="1" w:after="100" w:afterAutospacing="1" w:line="240" w:lineRule="auto"/>
        <w:jc w:val="both"/>
        <w:rPr>
          <w:rFonts w:ascii="Calibri" w:eastAsia="Times New Roman" w:hAnsi="Calibri" w:cs="Calibri"/>
          <w:b/>
          <w:bCs/>
          <w:sz w:val="24"/>
          <w:szCs w:val="24"/>
          <w:lang w:eastAsia="fr-FR"/>
        </w:rPr>
      </w:pPr>
      <w:r w:rsidRPr="001B6D14">
        <w:rPr>
          <w:rFonts w:ascii="Calibri" w:eastAsia="Times New Roman" w:hAnsi="Calibri" w:cs="Calibri"/>
          <w:sz w:val="24"/>
          <w:szCs w:val="24"/>
          <w:lang w:eastAsia="fr-FR"/>
        </w:rPr>
        <w:t> </w:t>
      </w:r>
      <w:r w:rsidRPr="001B6D14">
        <w:rPr>
          <w:rFonts w:ascii="Calibri" w:eastAsia="Times New Roman" w:hAnsi="Calibri" w:cs="Calibri"/>
          <w:b/>
          <w:bCs/>
          <w:sz w:val="24"/>
          <w:szCs w:val="24"/>
          <w:lang w:eastAsia="fr-FR"/>
        </w:rPr>
        <w:t>Les formations éligibles</w:t>
      </w:r>
      <w:r w:rsidR="006F15DD" w:rsidRPr="001B6D14">
        <w:rPr>
          <w:rFonts w:ascii="Calibri" w:eastAsia="Times New Roman" w:hAnsi="Calibri" w:cs="Calibri"/>
          <w:b/>
          <w:bCs/>
          <w:sz w:val="24"/>
          <w:szCs w:val="24"/>
          <w:lang w:eastAsia="fr-FR"/>
        </w:rPr>
        <w:t> :</w:t>
      </w:r>
    </w:p>
    <w:p w:rsidR="007D4C6E" w:rsidRPr="001B6D14" w:rsidRDefault="007D4C6E" w:rsidP="008D6817">
      <w:pPr>
        <w:spacing w:before="100" w:beforeAutospacing="1" w:after="100" w:afterAutospacing="1" w:line="240" w:lineRule="auto"/>
        <w:jc w:val="both"/>
        <w:rPr>
          <w:rFonts w:ascii="Calibri" w:eastAsia="Times New Roman" w:hAnsi="Calibri" w:cs="Calibri"/>
          <w:sz w:val="24"/>
          <w:szCs w:val="24"/>
          <w:lang w:eastAsia="fr-FR"/>
        </w:rPr>
      </w:pPr>
      <w:r w:rsidRPr="001B6D14">
        <w:rPr>
          <w:rFonts w:ascii="Calibri" w:eastAsia="Times New Roman" w:hAnsi="Calibri" w:cs="Calibri"/>
          <w:sz w:val="24"/>
          <w:szCs w:val="24"/>
          <w:lang w:eastAsia="fr-FR"/>
        </w:rPr>
        <w:t xml:space="preserve">Le CPF permet à l’agent public d’accéder à toute action de formation, hors celles relatives à l’adaptation aux fonctions exercées, ayant pour objet l’acquisition d’un diplôme, d’un titre, d’un certificat de qualification professionnelle ou le développement de compétences nécessaires à la mise en œuvre de son projet d’évolution professionnelle. </w:t>
      </w:r>
    </w:p>
    <w:p w:rsidR="00125CCB" w:rsidRPr="001B6D14" w:rsidRDefault="00125CCB" w:rsidP="008D6817">
      <w:pPr>
        <w:spacing w:before="100" w:beforeAutospacing="1" w:after="100" w:afterAutospacing="1" w:line="240" w:lineRule="auto"/>
        <w:jc w:val="both"/>
        <w:rPr>
          <w:rFonts w:ascii="Calibri" w:eastAsia="Times New Roman" w:hAnsi="Calibri" w:cs="Calibri"/>
          <w:sz w:val="24"/>
          <w:szCs w:val="24"/>
          <w:lang w:eastAsia="fr-FR"/>
        </w:rPr>
      </w:pPr>
      <w:r w:rsidRPr="001B6D14">
        <w:rPr>
          <w:rFonts w:ascii="Calibri" w:eastAsia="Times New Roman" w:hAnsi="Calibri" w:cs="Calibri"/>
          <w:sz w:val="24"/>
          <w:szCs w:val="24"/>
          <w:lang w:eastAsia="fr-FR"/>
        </w:rPr>
        <w:t>Peut être considérée comme répondant à un projet d’évolution professionnelle toute action de formation qui vise à accéder à de nouvelles responsabilités, effectuer une mobilité professionnelle ou s’inscrire dans une démarche de reconversion professionnelle dans le secteur privé, y compris la création ou la reprise d’entreprise.</w:t>
      </w:r>
    </w:p>
    <w:p w:rsidR="008D6817" w:rsidRPr="001B6D14" w:rsidRDefault="008D6817" w:rsidP="008D6817">
      <w:pPr>
        <w:spacing w:before="100" w:beforeAutospacing="1" w:after="100" w:afterAutospacing="1" w:line="240" w:lineRule="auto"/>
        <w:jc w:val="both"/>
        <w:rPr>
          <w:rFonts w:ascii="Calibri" w:eastAsia="Times New Roman" w:hAnsi="Calibri" w:cs="Calibri"/>
          <w:sz w:val="24"/>
          <w:szCs w:val="24"/>
          <w:lang w:eastAsia="fr-FR"/>
        </w:rPr>
      </w:pPr>
      <w:r w:rsidRPr="001B6D14">
        <w:rPr>
          <w:rFonts w:ascii="Calibri" w:eastAsia="Times New Roman" w:hAnsi="Calibri" w:cs="Calibri"/>
          <w:sz w:val="24"/>
          <w:szCs w:val="24"/>
          <w:lang w:eastAsia="fr-FR"/>
        </w:rPr>
        <w:t>Selon l’article 2 de la circulaire DGAFP du 10 mai 2017, l’agent public peut donc solliciter son CPF pour :</w:t>
      </w:r>
    </w:p>
    <w:p w:rsidR="008D6817" w:rsidRPr="001B6D14" w:rsidRDefault="008D6817" w:rsidP="008D6817">
      <w:pPr>
        <w:pStyle w:val="Paragraphedeliste"/>
        <w:numPr>
          <w:ilvl w:val="1"/>
          <w:numId w:val="2"/>
        </w:numPr>
        <w:spacing w:before="100" w:beforeAutospacing="1" w:after="100" w:afterAutospacing="1" w:line="240" w:lineRule="auto"/>
        <w:jc w:val="both"/>
        <w:rPr>
          <w:rFonts w:ascii="Calibri" w:eastAsia="Times New Roman" w:hAnsi="Calibri" w:cs="Calibri"/>
          <w:sz w:val="24"/>
          <w:szCs w:val="24"/>
          <w:lang w:eastAsia="fr-FR"/>
        </w:rPr>
      </w:pPr>
      <w:proofErr w:type="gramStart"/>
      <w:r w:rsidRPr="001B6D14">
        <w:rPr>
          <w:rFonts w:ascii="Calibri" w:eastAsia="Times New Roman" w:hAnsi="Calibri" w:cs="Calibri"/>
          <w:sz w:val="24"/>
          <w:szCs w:val="24"/>
          <w:lang w:eastAsia="fr-FR"/>
        </w:rPr>
        <w:t>le</w:t>
      </w:r>
      <w:proofErr w:type="gramEnd"/>
      <w:r w:rsidRPr="001B6D14">
        <w:rPr>
          <w:rFonts w:ascii="Calibri" w:eastAsia="Times New Roman" w:hAnsi="Calibri" w:cs="Calibri"/>
          <w:sz w:val="24"/>
          <w:szCs w:val="24"/>
          <w:lang w:eastAsia="fr-FR"/>
        </w:rPr>
        <w:t xml:space="preserve"> suivi d’une action de formation visant à l’obtention d’un diplôme, d’un titre ou d’une certification répertoriés sur le répertoire national des certifications professionnelles (RNCP) ou à l’inventaire mentionné à l’article L. 335-6 du code de l’éducation nationale (formation courte qui permet d’obtenir un certificat de compétences, le RNCP recensant pour sa part des certificats de qualification correspondant à des formations plus longues) ;</w:t>
      </w:r>
    </w:p>
    <w:p w:rsidR="008D6817" w:rsidRPr="001B6D14" w:rsidRDefault="008D6817" w:rsidP="008D6817">
      <w:pPr>
        <w:pStyle w:val="Paragraphedeliste"/>
        <w:spacing w:before="100" w:beforeAutospacing="1" w:after="100" w:afterAutospacing="1" w:line="240" w:lineRule="auto"/>
        <w:ind w:left="1440"/>
        <w:jc w:val="both"/>
        <w:rPr>
          <w:rFonts w:ascii="Calibri" w:eastAsia="Times New Roman" w:hAnsi="Calibri" w:cs="Calibri"/>
          <w:sz w:val="24"/>
          <w:szCs w:val="24"/>
          <w:lang w:eastAsia="fr-FR"/>
        </w:rPr>
      </w:pPr>
    </w:p>
    <w:p w:rsidR="008D6817" w:rsidRPr="001B6D14" w:rsidRDefault="008D6817" w:rsidP="008D6817">
      <w:pPr>
        <w:pStyle w:val="Paragraphedeliste"/>
        <w:numPr>
          <w:ilvl w:val="1"/>
          <w:numId w:val="2"/>
        </w:numPr>
        <w:spacing w:before="100" w:beforeAutospacing="1" w:after="100" w:afterAutospacing="1" w:line="240" w:lineRule="auto"/>
        <w:jc w:val="both"/>
        <w:rPr>
          <w:rFonts w:ascii="Calibri" w:eastAsia="Times New Roman" w:hAnsi="Calibri" w:cs="Calibri"/>
          <w:sz w:val="24"/>
          <w:szCs w:val="24"/>
          <w:lang w:eastAsia="fr-FR"/>
        </w:rPr>
      </w:pPr>
      <w:proofErr w:type="gramStart"/>
      <w:r w:rsidRPr="001B6D14">
        <w:rPr>
          <w:rFonts w:ascii="Calibri" w:eastAsia="Times New Roman" w:hAnsi="Calibri" w:cs="Calibri"/>
          <w:sz w:val="24"/>
          <w:szCs w:val="24"/>
          <w:lang w:eastAsia="fr-FR"/>
        </w:rPr>
        <w:t>le</w:t>
      </w:r>
      <w:proofErr w:type="gramEnd"/>
      <w:r w:rsidRPr="001B6D14">
        <w:rPr>
          <w:rFonts w:ascii="Calibri" w:eastAsia="Times New Roman" w:hAnsi="Calibri" w:cs="Calibri"/>
          <w:sz w:val="24"/>
          <w:szCs w:val="24"/>
          <w:lang w:eastAsia="fr-FR"/>
        </w:rPr>
        <w:t xml:space="preserve"> suivi d’une action inscrite au plan de formation ou dans l’offre de formation d’un employeur public, y compris lorsqu’il s’agit d’un autre employeur que le sien ;</w:t>
      </w:r>
    </w:p>
    <w:p w:rsidR="008D6817" w:rsidRPr="001B6D14" w:rsidRDefault="008D6817" w:rsidP="008D6817">
      <w:pPr>
        <w:pStyle w:val="Paragraphedeliste"/>
        <w:jc w:val="both"/>
        <w:rPr>
          <w:rFonts w:ascii="Calibri" w:eastAsia="Times New Roman" w:hAnsi="Calibri" w:cs="Calibri"/>
          <w:sz w:val="24"/>
          <w:szCs w:val="24"/>
          <w:lang w:eastAsia="fr-FR"/>
        </w:rPr>
      </w:pPr>
    </w:p>
    <w:p w:rsidR="008D6817" w:rsidRPr="001B6D14" w:rsidRDefault="008D6817" w:rsidP="008D6817">
      <w:pPr>
        <w:pStyle w:val="Paragraphedeliste"/>
        <w:numPr>
          <w:ilvl w:val="1"/>
          <w:numId w:val="2"/>
        </w:numPr>
        <w:spacing w:before="100" w:beforeAutospacing="1" w:after="100" w:afterAutospacing="1" w:line="240" w:lineRule="auto"/>
        <w:jc w:val="both"/>
        <w:rPr>
          <w:rFonts w:ascii="Calibri" w:eastAsia="Times New Roman" w:hAnsi="Calibri" w:cs="Calibri"/>
          <w:sz w:val="24"/>
          <w:szCs w:val="24"/>
          <w:lang w:eastAsia="fr-FR"/>
        </w:rPr>
      </w:pPr>
      <w:proofErr w:type="gramStart"/>
      <w:r w:rsidRPr="001B6D14">
        <w:rPr>
          <w:rFonts w:ascii="Calibri" w:eastAsia="Times New Roman" w:hAnsi="Calibri" w:cs="Calibri"/>
          <w:sz w:val="24"/>
          <w:szCs w:val="24"/>
          <w:lang w:eastAsia="fr-FR"/>
        </w:rPr>
        <w:t>le</w:t>
      </w:r>
      <w:proofErr w:type="gramEnd"/>
      <w:r w:rsidRPr="001B6D14">
        <w:rPr>
          <w:rFonts w:ascii="Calibri" w:eastAsia="Times New Roman" w:hAnsi="Calibri" w:cs="Calibri"/>
          <w:sz w:val="24"/>
          <w:szCs w:val="24"/>
          <w:lang w:eastAsia="fr-FR"/>
        </w:rPr>
        <w:t xml:space="preserve"> suivi d’une action proposée par un organisme de formation ayant souscrit aux obligations de déclaration prévues par le code du travail.</w:t>
      </w:r>
    </w:p>
    <w:p w:rsidR="008D6817" w:rsidRPr="001B6D14" w:rsidRDefault="008D6817" w:rsidP="008D6817">
      <w:pPr>
        <w:pStyle w:val="Paragraphedeliste"/>
        <w:jc w:val="both"/>
        <w:rPr>
          <w:rFonts w:ascii="Calibri" w:eastAsia="Times New Roman" w:hAnsi="Calibri" w:cs="Calibri"/>
          <w:sz w:val="24"/>
          <w:szCs w:val="24"/>
          <w:lang w:eastAsia="fr-FR"/>
        </w:rPr>
      </w:pPr>
    </w:p>
    <w:p w:rsidR="008D6817" w:rsidRPr="001B6D14" w:rsidRDefault="008D6817" w:rsidP="008D6817">
      <w:pPr>
        <w:spacing w:before="100" w:beforeAutospacing="1" w:after="100" w:afterAutospacing="1" w:line="240" w:lineRule="auto"/>
        <w:jc w:val="both"/>
        <w:rPr>
          <w:rFonts w:ascii="Calibri" w:eastAsia="Times New Roman" w:hAnsi="Calibri" w:cs="Calibri"/>
          <w:sz w:val="24"/>
          <w:szCs w:val="24"/>
          <w:lang w:eastAsia="fr-FR"/>
        </w:rPr>
      </w:pPr>
      <w:r w:rsidRPr="001B6D14">
        <w:rPr>
          <w:rFonts w:ascii="Calibri" w:eastAsia="Times New Roman" w:hAnsi="Calibri" w:cs="Calibri"/>
          <w:sz w:val="24"/>
          <w:szCs w:val="24"/>
          <w:lang w:eastAsia="fr-FR"/>
        </w:rPr>
        <w:t>Lorsque plusieurs actions de formation permettent de satisfaire la demande de l’agent, une priorité est accordée à la formation assurée par son employeur.</w:t>
      </w:r>
    </w:p>
    <w:p w:rsidR="007D4C6E" w:rsidRPr="001B6D14" w:rsidRDefault="004C5C2E" w:rsidP="008D6817">
      <w:pPr>
        <w:spacing w:before="100" w:beforeAutospacing="1" w:after="100" w:afterAutospacing="1" w:line="240" w:lineRule="auto"/>
        <w:jc w:val="both"/>
        <w:outlineLvl w:val="1"/>
        <w:rPr>
          <w:rFonts w:ascii="Calibri" w:eastAsia="Times New Roman" w:hAnsi="Calibri" w:cs="Calibri"/>
          <w:b/>
          <w:bCs/>
          <w:sz w:val="24"/>
          <w:szCs w:val="24"/>
          <w:lang w:eastAsia="fr-FR"/>
        </w:rPr>
      </w:pPr>
      <w:r w:rsidRPr="001B6D14">
        <w:rPr>
          <w:rFonts w:ascii="Calibri" w:eastAsia="Times New Roman" w:hAnsi="Calibri" w:cs="Calibri"/>
          <w:b/>
          <w:bCs/>
          <w:sz w:val="24"/>
          <w:szCs w:val="24"/>
          <w:lang w:eastAsia="fr-FR"/>
        </w:rPr>
        <w:lastRenderedPageBreak/>
        <w:t>Les modalités de candidature :</w:t>
      </w:r>
    </w:p>
    <w:p w:rsidR="001B12D1" w:rsidRPr="001B6D14" w:rsidRDefault="004C5C2E" w:rsidP="008D6817">
      <w:pPr>
        <w:spacing w:before="100" w:beforeAutospacing="1" w:after="100" w:afterAutospacing="1" w:line="240" w:lineRule="auto"/>
        <w:jc w:val="both"/>
        <w:rPr>
          <w:rFonts w:ascii="Calibri" w:eastAsia="Times New Roman" w:hAnsi="Calibri" w:cs="Calibri"/>
          <w:sz w:val="24"/>
          <w:szCs w:val="24"/>
          <w:lang w:eastAsia="fr-FR"/>
        </w:rPr>
      </w:pPr>
      <w:r w:rsidRPr="001B6D14">
        <w:rPr>
          <w:rFonts w:ascii="Calibri" w:eastAsia="Times New Roman" w:hAnsi="Calibri" w:cs="Calibri"/>
          <w:bCs/>
          <w:sz w:val="24"/>
          <w:szCs w:val="24"/>
          <w:lang w:eastAsia="fr-FR"/>
        </w:rPr>
        <w:t>Le traitement des demandes s’opère lors de deux campagnes annuelles</w:t>
      </w:r>
      <w:r w:rsidR="001B12D1" w:rsidRPr="001B6D14">
        <w:rPr>
          <w:rFonts w:ascii="Calibri" w:eastAsia="Times New Roman" w:hAnsi="Calibri" w:cs="Calibri"/>
          <w:bCs/>
          <w:sz w:val="24"/>
          <w:szCs w:val="24"/>
          <w:lang w:eastAsia="fr-FR"/>
        </w:rPr>
        <w:t xml:space="preserve">, à </w:t>
      </w:r>
      <w:r w:rsidR="001B12D1" w:rsidRPr="001B6D14">
        <w:rPr>
          <w:rFonts w:ascii="Calibri" w:eastAsia="Times New Roman" w:hAnsi="Calibri" w:cs="Calibri"/>
          <w:sz w:val="24"/>
          <w:szCs w:val="24"/>
          <w:lang w:eastAsia="fr-FR"/>
        </w:rPr>
        <w:t xml:space="preserve">l’aide du dossier </w:t>
      </w:r>
      <w:r w:rsidR="006F15DD" w:rsidRPr="001B6D14">
        <w:rPr>
          <w:rFonts w:ascii="Calibri" w:eastAsia="Times New Roman" w:hAnsi="Calibri" w:cs="Calibri"/>
          <w:sz w:val="24"/>
          <w:szCs w:val="24"/>
          <w:lang w:eastAsia="fr-FR"/>
        </w:rPr>
        <w:t>à compléter</w:t>
      </w:r>
      <w:r w:rsidR="001B12D1" w:rsidRPr="001B6D14">
        <w:rPr>
          <w:rFonts w:ascii="Calibri" w:eastAsia="Times New Roman" w:hAnsi="Calibri" w:cs="Calibri"/>
          <w:sz w:val="24"/>
          <w:szCs w:val="24"/>
          <w:lang w:eastAsia="fr-FR"/>
        </w:rPr>
        <w:t xml:space="preserve"> sur l’intranet académique. Rubrique « ressources humaines », « formation des personnels » et « compte personnel de formation</w:t>
      </w:r>
      <w:r w:rsidR="00C86C95" w:rsidRPr="001B6D14">
        <w:rPr>
          <w:rFonts w:ascii="Calibri" w:eastAsia="Times New Roman" w:hAnsi="Calibri" w:cs="Calibri"/>
          <w:sz w:val="24"/>
          <w:szCs w:val="24"/>
          <w:lang w:eastAsia="fr-FR"/>
        </w:rPr>
        <w:t> »</w:t>
      </w:r>
      <w:r w:rsidR="001B12D1" w:rsidRPr="001B6D14">
        <w:rPr>
          <w:rFonts w:ascii="Calibri" w:eastAsia="Times New Roman" w:hAnsi="Calibri" w:cs="Calibri"/>
          <w:sz w:val="24"/>
          <w:szCs w:val="24"/>
          <w:lang w:eastAsia="fr-FR"/>
        </w:rPr>
        <w:t>.</w:t>
      </w:r>
    </w:p>
    <w:p w:rsidR="001B12D1" w:rsidRPr="001B6D14" w:rsidRDefault="001B12D1" w:rsidP="008D6817">
      <w:pPr>
        <w:spacing w:before="100" w:beforeAutospacing="1" w:after="100" w:afterAutospacing="1" w:line="240" w:lineRule="auto"/>
        <w:jc w:val="both"/>
        <w:outlineLvl w:val="1"/>
        <w:rPr>
          <w:rFonts w:ascii="Calibri" w:eastAsia="Times New Roman" w:hAnsi="Calibri" w:cs="Calibri"/>
          <w:bCs/>
          <w:sz w:val="24"/>
          <w:szCs w:val="24"/>
          <w:lang w:eastAsia="fr-FR"/>
        </w:rPr>
      </w:pPr>
      <w:bookmarkStart w:id="0" w:name="_GoBack"/>
      <w:bookmarkEnd w:id="0"/>
      <w:r w:rsidRPr="001B6D14">
        <w:rPr>
          <w:rFonts w:ascii="Calibri" w:eastAsia="Times New Roman" w:hAnsi="Calibri" w:cs="Calibri"/>
          <w:bCs/>
          <w:sz w:val="24"/>
          <w:szCs w:val="24"/>
          <w:lang w:eastAsia="fr-FR"/>
        </w:rPr>
        <w:t>La DIFOR accuse réception des dossiers et une commission présidée par le DRH étudie la recevabilité des demandes. Les demandes devront obligatoirement porter sur des formations n’ayant pas encore débuté.</w:t>
      </w:r>
    </w:p>
    <w:p w:rsidR="00953357" w:rsidRPr="001B6D14" w:rsidRDefault="00953357" w:rsidP="008D6817">
      <w:pPr>
        <w:spacing w:before="100" w:beforeAutospacing="1" w:after="100" w:afterAutospacing="1" w:line="240" w:lineRule="auto"/>
        <w:jc w:val="both"/>
        <w:outlineLvl w:val="1"/>
        <w:rPr>
          <w:rFonts w:ascii="Calibri" w:eastAsia="Times New Roman" w:hAnsi="Calibri" w:cs="Calibri"/>
          <w:bCs/>
          <w:sz w:val="24"/>
          <w:szCs w:val="24"/>
          <w:lang w:eastAsia="fr-FR"/>
        </w:rPr>
      </w:pPr>
      <w:r w:rsidRPr="001B6D14">
        <w:rPr>
          <w:rFonts w:ascii="Calibri" w:eastAsia="Times New Roman" w:hAnsi="Calibri" w:cs="Calibri"/>
          <w:bCs/>
          <w:sz w:val="24"/>
          <w:szCs w:val="24"/>
          <w:lang w:eastAsia="fr-FR"/>
        </w:rPr>
        <w:t xml:space="preserve">Toutes les demandes recevront </w:t>
      </w:r>
      <w:r w:rsidR="007D7642" w:rsidRPr="001B6D14">
        <w:rPr>
          <w:rFonts w:ascii="Calibri" w:eastAsia="Times New Roman" w:hAnsi="Calibri" w:cs="Calibri"/>
          <w:bCs/>
          <w:sz w:val="24"/>
          <w:szCs w:val="24"/>
          <w:lang w:eastAsia="fr-FR"/>
        </w:rPr>
        <w:t>une réponse motivée de l’administration à l’issue de la ca</w:t>
      </w:r>
      <w:r w:rsidR="00C86C95" w:rsidRPr="001B6D14">
        <w:rPr>
          <w:rFonts w:ascii="Calibri" w:eastAsia="Times New Roman" w:hAnsi="Calibri" w:cs="Calibri"/>
          <w:bCs/>
          <w:sz w:val="24"/>
          <w:szCs w:val="24"/>
          <w:lang w:eastAsia="fr-FR"/>
        </w:rPr>
        <w:t xml:space="preserve">mpagne. Le </w:t>
      </w:r>
      <w:r w:rsidR="00D351B6" w:rsidRPr="001B6D14">
        <w:rPr>
          <w:rFonts w:ascii="Calibri" w:eastAsia="Times New Roman" w:hAnsi="Calibri" w:cs="Calibri"/>
          <w:bCs/>
          <w:sz w:val="24"/>
          <w:szCs w:val="24"/>
          <w:lang w:eastAsia="fr-FR"/>
        </w:rPr>
        <w:t>troisième</w:t>
      </w:r>
      <w:r w:rsidR="00C86C95" w:rsidRPr="001B6D14">
        <w:rPr>
          <w:rFonts w:ascii="Calibri" w:eastAsia="Times New Roman" w:hAnsi="Calibri" w:cs="Calibri"/>
          <w:bCs/>
          <w:sz w:val="24"/>
          <w:szCs w:val="24"/>
          <w:lang w:eastAsia="fr-FR"/>
        </w:rPr>
        <w:t xml:space="preserve"> refus sur la même action ou une action de même nature doit recueillir l’avis de la CAP.</w:t>
      </w:r>
    </w:p>
    <w:p w:rsidR="007D4C6E" w:rsidRPr="001B6D14" w:rsidRDefault="007D4C6E" w:rsidP="008D6817">
      <w:pPr>
        <w:spacing w:before="100" w:beforeAutospacing="1" w:after="100" w:afterAutospacing="1" w:line="240" w:lineRule="auto"/>
        <w:jc w:val="both"/>
        <w:outlineLvl w:val="1"/>
        <w:rPr>
          <w:rFonts w:ascii="Calibri" w:eastAsia="Times New Roman" w:hAnsi="Calibri" w:cs="Calibri"/>
          <w:b/>
          <w:bCs/>
          <w:sz w:val="24"/>
          <w:szCs w:val="24"/>
          <w:lang w:eastAsia="fr-FR"/>
        </w:rPr>
      </w:pPr>
      <w:r w:rsidRPr="001B6D14">
        <w:rPr>
          <w:rFonts w:ascii="Calibri" w:eastAsia="Times New Roman" w:hAnsi="Calibri" w:cs="Calibri"/>
          <w:b/>
          <w:bCs/>
          <w:sz w:val="24"/>
          <w:szCs w:val="24"/>
          <w:lang w:eastAsia="fr-FR"/>
        </w:rPr>
        <w:t>Financement de la formation</w:t>
      </w:r>
    </w:p>
    <w:p w:rsidR="001B6D14" w:rsidRDefault="00953357" w:rsidP="008D6817">
      <w:pPr>
        <w:spacing w:before="100" w:beforeAutospacing="1" w:after="100" w:afterAutospacing="1" w:line="240" w:lineRule="auto"/>
        <w:jc w:val="both"/>
        <w:rPr>
          <w:rFonts w:ascii="Calibri" w:eastAsia="Times New Roman" w:hAnsi="Calibri" w:cs="Calibri"/>
          <w:sz w:val="24"/>
          <w:szCs w:val="24"/>
          <w:lang w:eastAsia="fr-FR"/>
        </w:rPr>
      </w:pPr>
      <w:r w:rsidRPr="001B6D14">
        <w:rPr>
          <w:rFonts w:ascii="Calibri" w:eastAsia="Times New Roman" w:hAnsi="Calibri" w:cs="Calibri"/>
          <w:sz w:val="24"/>
          <w:szCs w:val="24"/>
          <w:lang w:eastAsia="fr-FR"/>
        </w:rPr>
        <w:t>L’administration prend en charge exclusivement les frais pédagogiques liés à la formation, dans la limite du plafond horaire et par formation fixé par l’arrêté ministériel du 21 novembre 2018 et du budget annuel académique réservé à la mise en place du CPF.</w:t>
      </w:r>
      <w:r w:rsidR="006F15DD" w:rsidRPr="001B6D14">
        <w:rPr>
          <w:rFonts w:ascii="Calibri" w:eastAsia="Times New Roman" w:hAnsi="Calibri" w:cs="Calibri"/>
          <w:sz w:val="24"/>
          <w:szCs w:val="24"/>
          <w:lang w:eastAsia="fr-FR"/>
        </w:rPr>
        <w:t xml:space="preserve"> </w:t>
      </w:r>
    </w:p>
    <w:p w:rsidR="001B6D14" w:rsidRDefault="008D6817" w:rsidP="008D6817">
      <w:pPr>
        <w:spacing w:before="100" w:beforeAutospacing="1" w:after="100" w:afterAutospacing="1" w:line="240" w:lineRule="auto"/>
        <w:jc w:val="both"/>
        <w:rPr>
          <w:rFonts w:ascii="Calibri" w:eastAsia="Times New Roman" w:hAnsi="Calibri" w:cs="Calibri"/>
          <w:sz w:val="24"/>
          <w:szCs w:val="24"/>
          <w:lang w:eastAsia="fr-FR"/>
        </w:rPr>
      </w:pPr>
      <w:r w:rsidRPr="001B6D14">
        <w:rPr>
          <w:rFonts w:ascii="Calibri" w:eastAsia="Times New Roman" w:hAnsi="Calibri" w:cs="Calibri"/>
          <w:sz w:val="24"/>
          <w:szCs w:val="24"/>
          <w:lang w:eastAsia="fr-FR"/>
        </w:rPr>
        <w:t xml:space="preserve">Les frais d’inscription ne sont pas pris en charge dans le cadre du CPF. </w:t>
      </w:r>
    </w:p>
    <w:p w:rsidR="007D4C6E" w:rsidRPr="001B6D14" w:rsidRDefault="00C86C95" w:rsidP="008D6817">
      <w:pPr>
        <w:spacing w:before="100" w:beforeAutospacing="1" w:after="100" w:afterAutospacing="1" w:line="240" w:lineRule="auto"/>
        <w:jc w:val="both"/>
        <w:rPr>
          <w:rFonts w:ascii="Calibri" w:eastAsia="Times New Roman" w:hAnsi="Calibri" w:cs="Calibri"/>
          <w:sz w:val="24"/>
          <w:szCs w:val="24"/>
          <w:lang w:eastAsia="fr-FR"/>
        </w:rPr>
      </w:pPr>
      <w:r w:rsidRPr="001B6D14">
        <w:rPr>
          <w:rFonts w:ascii="Calibri" w:eastAsia="Times New Roman" w:hAnsi="Calibri" w:cs="Calibri"/>
          <w:sz w:val="24"/>
          <w:szCs w:val="24"/>
          <w:lang w:eastAsia="fr-FR"/>
        </w:rPr>
        <w:t xml:space="preserve">La prise en charge financière </w:t>
      </w:r>
      <w:r w:rsidR="007D4C6E" w:rsidRPr="001B6D14">
        <w:rPr>
          <w:rFonts w:ascii="Calibri" w:eastAsia="Times New Roman" w:hAnsi="Calibri" w:cs="Calibri"/>
          <w:sz w:val="24"/>
          <w:szCs w:val="24"/>
          <w:lang w:eastAsia="fr-FR"/>
        </w:rPr>
        <w:t>est prévu à terme échu, sur présentation des justificatifs d’assiduité et d’une facture acquittée au service gestionnaire concerné</w:t>
      </w:r>
      <w:r w:rsidR="00BE1F55" w:rsidRPr="001B6D14">
        <w:rPr>
          <w:rFonts w:ascii="Calibri" w:eastAsia="Times New Roman" w:hAnsi="Calibri" w:cs="Calibri"/>
          <w:sz w:val="24"/>
          <w:szCs w:val="24"/>
          <w:lang w:eastAsia="fr-FR"/>
        </w:rPr>
        <w:t xml:space="preserve"> : </w:t>
      </w:r>
      <w:r w:rsidR="00953357" w:rsidRPr="001B6D14">
        <w:rPr>
          <w:rFonts w:ascii="Calibri" w:eastAsia="Times New Roman" w:hAnsi="Calibri" w:cs="Calibri"/>
          <w:sz w:val="24"/>
          <w:szCs w:val="24"/>
          <w:lang w:eastAsia="fr-FR"/>
        </w:rPr>
        <w:t>DIFOR</w:t>
      </w:r>
    </w:p>
    <w:sectPr w:rsidR="007D4C6E" w:rsidRPr="001B6D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5503"/>
    <w:multiLevelType w:val="hybridMultilevel"/>
    <w:tmpl w:val="3DA09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9B7E01"/>
    <w:multiLevelType w:val="multilevel"/>
    <w:tmpl w:val="18A49CF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D2D97"/>
    <w:multiLevelType w:val="multilevel"/>
    <w:tmpl w:val="6FBA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616C3"/>
    <w:multiLevelType w:val="multilevel"/>
    <w:tmpl w:val="F3B8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8E4013"/>
    <w:multiLevelType w:val="hybridMultilevel"/>
    <w:tmpl w:val="D9228D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0A"/>
    <w:rsid w:val="000725AC"/>
    <w:rsid w:val="00101778"/>
    <w:rsid w:val="00125CCB"/>
    <w:rsid w:val="001B12D1"/>
    <w:rsid w:val="001B6D14"/>
    <w:rsid w:val="00213F0A"/>
    <w:rsid w:val="002D2CAF"/>
    <w:rsid w:val="002E2A89"/>
    <w:rsid w:val="004C5C2E"/>
    <w:rsid w:val="006A4776"/>
    <w:rsid w:val="006F15DD"/>
    <w:rsid w:val="006F2777"/>
    <w:rsid w:val="00741CC4"/>
    <w:rsid w:val="007D4C6E"/>
    <w:rsid w:val="007D7642"/>
    <w:rsid w:val="008348CF"/>
    <w:rsid w:val="008D6817"/>
    <w:rsid w:val="00943A19"/>
    <w:rsid w:val="00953357"/>
    <w:rsid w:val="00A04451"/>
    <w:rsid w:val="00A64470"/>
    <w:rsid w:val="00A66926"/>
    <w:rsid w:val="00A911AE"/>
    <w:rsid w:val="00BB4111"/>
    <w:rsid w:val="00BE1F55"/>
    <w:rsid w:val="00C84AC7"/>
    <w:rsid w:val="00C86C95"/>
    <w:rsid w:val="00D2668B"/>
    <w:rsid w:val="00D351B6"/>
    <w:rsid w:val="00DB0AB7"/>
    <w:rsid w:val="00E94404"/>
    <w:rsid w:val="00FA14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C8E8B"/>
  <w15:chartTrackingRefBased/>
  <w15:docId w15:val="{D5D1593E-B761-4978-B3BD-802DF197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A477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A4776"/>
    <w:rPr>
      <w:rFonts w:ascii="Segoe UI" w:hAnsi="Segoe UI" w:cs="Segoe UI"/>
      <w:sz w:val="18"/>
      <w:szCs w:val="18"/>
    </w:rPr>
  </w:style>
  <w:style w:type="paragraph" w:styleId="Paragraphedeliste">
    <w:name w:val="List Paragraph"/>
    <w:basedOn w:val="Normal"/>
    <w:uiPriority w:val="34"/>
    <w:qFormat/>
    <w:rsid w:val="00A04451"/>
    <w:pPr>
      <w:ind w:left="720"/>
      <w:contextualSpacing/>
    </w:pPr>
  </w:style>
  <w:style w:type="character" w:styleId="lev">
    <w:name w:val="Strong"/>
    <w:basedOn w:val="Policepardfaut"/>
    <w:uiPriority w:val="22"/>
    <w:qFormat/>
    <w:rsid w:val="00FA14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885708">
      <w:bodyDiv w:val="1"/>
      <w:marLeft w:val="0"/>
      <w:marRight w:val="0"/>
      <w:marTop w:val="0"/>
      <w:marBottom w:val="0"/>
      <w:divBdr>
        <w:top w:val="none" w:sz="0" w:space="0" w:color="auto"/>
        <w:left w:val="none" w:sz="0" w:space="0" w:color="auto"/>
        <w:bottom w:val="none" w:sz="0" w:space="0" w:color="auto"/>
        <w:right w:val="none" w:sz="0" w:space="0" w:color="auto"/>
      </w:divBdr>
    </w:div>
    <w:div w:id="1989288202">
      <w:bodyDiv w:val="1"/>
      <w:marLeft w:val="0"/>
      <w:marRight w:val="0"/>
      <w:marTop w:val="0"/>
      <w:marBottom w:val="0"/>
      <w:divBdr>
        <w:top w:val="none" w:sz="0" w:space="0" w:color="auto"/>
        <w:left w:val="none" w:sz="0" w:space="0" w:color="auto"/>
        <w:bottom w:val="none" w:sz="0" w:space="0" w:color="auto"/>
        <w:right w:val="none" w:sz="0" w:space="0" w:color="auto"/>
      </w:divBdr>
      <w:divsChild>
        <w:div w:id="1245916045">
          <w:marLeft w:val="0"/>
          <w:marRight w:val="0"/>
          <w:marTop w:val="0"/>
          <w:marBottom w:val="0"/>
          <w:divBdr>
            <w:top w:val="none" w:sz="0" w:space="0" w:color="auto"/>
            <w:left w:val="none" w:sz="0" w:space="0" w:color="auto"/>
            <w:bottom w:val="none" w:sz="0" w:space="0" w:color="auto"/>
            <w:right w:val="none" w:sz="0" w:space="0" w:color="auto"/>
          </w:divBdr>
          <w:divsChild>
            <w:div w:id="978070246">
              <w:marLeft w:val="0"/>
              <w:marRight w:val="0"/>
              <w:marTop w:val="0"/>
              <w:marBottom w:val="0"/>
              <w:divBdr>
                <w:top w:val="none" w:sz="0" w:space="0" w:color="auto"/>
                <w:left w:val="none" w:sz="0" w:space="0" w:color="auto"/>
                <w:bottom w:val="none" w:sz="0" w:space="0" w:color="auto"/>
                <w:right w:val="none" w:sz="0" w:space="0" w:color="auto"/>
              </w:divBdr>
              <w:divsChild>
                <w:div w:id="92873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67147">
          <w:marLeft w:val="0"/>
          <w:marRight w:val="0"/>
          <w:marTop w:val="0"/>
          <w:marBottom w:val="0"/>
          <w:divBdr>
            <w:top w:val="none" w:sz="0" w:space="0" w:color="auto"/>
            <w:left w:val="none" w:sz="0" w:space="0" w:color="auto"/>
            <w:bottom w:val="none" w:sz="0" w:space="0" w:color="auto"/>
            <w:right w:val="none" w:sz="0" w:space="0" w:color="auto"/>
          </w:divBdr>
          <w:divsChild>
            <w:div w:id="824129138">
              <w:marLeft w:val="0"/>
              <w:marRight w:val="0"/>
              <w:marTop w:val="0"/>
              <w:marBottom w:val="0"/>
              <w:divBdr>
                <w:top w:val="none" w:sz="0" w:space="0" w:color="auto"/>
                <w:left w:val="none" w:sz="0" w:space="0" w:color="auto"/>
                <w:bottom w:val="none" w:sz="0" w:space="0" w:color="auto"/>
                <w:right w:val="none" w:sz="0" w:space="0" w:color="auto"/>
              </w:divBdr>
              <w:divsChild>
                <w:div w:id="148080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6165">
          <w:marLeft w:val="0"/>
          <w:marRight w:val="0"/>
          <w:marTop w:val="0"/>
          <w:marBottom w:val="0"/>
          <w:divBdr>
            <w:top w:val="none" w:sz="0" w:space="0" w:color="auto"/>
            <w:left w:val="none" w:sz="0" w:space="0" w:color="auto"/>
            <w:bottom w:val="none" w:sz="0" w:space="0" w:color="auto"/>
            <w:right w:val="none" w:sz="0" w:space="0" w:color="auto"/>
          </w:divBdr>
          <w:divsChild>
            <w:div w:id="1259026814">
              <w:marLeft w:val="0"/>
              <w:marRight w:val="0"/>
              <w:marTop w:val="0"/>
              <w:marBottom w:val="0"/>
              <w:divBdr>
                <w:top w:val="none" w:sz="0" w:space="0" w:color="auto"/>
                <w:left w:val="none" w:sz="0" w:space="0" w:color="auto"/>
                <w:bottom w:val="none" w:sz="0" w:space="0" w:color="auto"/>
                <w:right w:val="none" w:sz="0" w:space="0" w:color="auto"/>
              </w:divBdr>
              <w:divsChild>
                <w:div w:id="3327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13148">
          <w:marLeft w:val="0"/>
          <w:marRight w:val="0"/>
          <w:marTop w:val="0"/>
          <w:marBottom w:val="0"/>
          <w:divBdr>
            <w:top w:val="none" w:sz="0" w:space="0" w:color="auto"/>
            <w:left w:val="none" w:sz="0" w:space="0" w:color="auto"/>
            <w:bottom w:val="none" w:sz="0" w:space="0" w:color="auto"/>
            <w:right w:val="none" w:sz="0" w:space="0" w:color="auto"/>
          </w:divBdr>
          <w:divsChild>
            <w:div w:id="514685795">
              <w:marLeft w:val="0"/>
              <w:marRight w:val="0"/>
              <w:marTop w:val="0"/>
              <w:marBottom w:val="0"/>
              <w:divBdr>
                <w:top w:val="none" w:sz="0" w:space="0" w:color="auto"/>
                <w:left w:val="none" w:sz="0" w:space="0" w:color="auto"/>
                <w:bottom w:val="none" w:sz="0" w:space="0" w:color="auto"/>
                <w:right w:val="none" w:sz="0" w:space="0" w:color="auto"/>
              </w:divBdr>
              <w:divsChild>
                <w:div w:id="58438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irculaires.legifrance.gouv.fr/pdf/2017/05/cir_4219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eli/ordonnance/2017/1/19/RDFF1633117R/jo/text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D66C73BD.dotm</Template>
  <TotalTime>3</TotalTime>
  <Pages>3</Pages>
  <Words>878</Words>
  <Characters>4831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VANIER</dc:creator>
  <cp:keywords/>
  <dc:description/>
  <cp:lastModifiedBy>AURELIEN GRIMPARD</cp:lastModifiedBy>
  <cp:revision>5</cp:revision>
  <cp:lastPrinted>2019-09-17T13:37:00Z</cp:lastPrinted>
  <dcterms:created xsi:type="dcterms:W3CDTF">2019-09-18T07:37:00Z</dcterms:created>
  <dcterms:modified xsi:type="dcterms:W3CDTF">2019-09-20T09:30:00Z</dcterms:modified>
</cp:coreProperties>
</file>